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97" w:rsidRPr="003F0997" w:rsidRDefault="003F0997" w:rsidP="003F0997">
      <w:pPr>
        <w:spacing w:after="240"/>
        <w:jc w:val="center"/>
        <w:rPr>
          <w:rFonts w:ascii="Arial" w:hAnsi="Arial" w:cs="Arial"/>
          <w:b/>
          <w:color w:val="1F497D"/>
          <w:sz w:val="24"/>
          <w:szCs w:val="24"/>
          <w:u w:val="single"/>
          <w:lang w:val="fr-BE"/>
        </w:rPr>
      </w:pPr>
      <w:r w:rsidRPr="003F0997">
        <w:rPr>
          <w:rFonts w:ascii="Arial" w:hAnsi="Arial" w:cs="Arial"/>
          <w:b/>
          <w:color w:val="1F497D"/>
          <w:sz w:val="24"/>
          <w:szCs w:val="24"/>
          <w:u w:val="single"/>
          <w:lang w:val="fr-BE"/>
        </w:rPr>
        <w:t>CISP – Taux de dérogation stagiaires pour 2016 et 2017</w:t>
      </w:r>
    </w:p>
    <w:p w:rsidR="003F0997" w:rsidRPr="003F0997" w:rsidRDefault="003F0997" w:rsidP="003F0997">
      <w:pPr>
        <w:spacing w:after="240"/>
        <w:rPr>
          <w:rFonts w:ascii="Arial" w:hAnsi="Arial" w:cs="Arial"/>
          <w:color w:val="1F497D"/>
          <w:lang w:val="fr-BE"/>
        </w:rPr>
      </w:pPr>
      <w:r w:rsidRPr="003F0997">
        <w:rPr>
          <w:rFonts w:ascii="Arial" w:hAnsi="Arial" w:cs="Arial"/>
          <w:color w:val="1F497D"/>
          <w:lang w:val="fr-BE"/>
        </w:rPr>
        <w:t>L’article 6 du décret CISP du 10 juillet 2013, lie le taux maximal de stagiaires admissibles sous dérogation dans une filière de formation aux taux de demande d’emploi des différents CSEF, devenus depuis lors Bassins EFE.</w:t>
      </w:r>
    </w:p>
    <w:p w:rsidR="003F0997" w:rsidRPr="003F0997" w:rsidRDefault="003F0997" w:rsidP="003F0997">
      <w:pPr>
        <w:spacing w:after="240"/>
        <w:rPr>
          <w:rFonts w:ascii="Arial" w:hAnsi="Arial" w:cs="Arial"/>
          <w:color w:val="1F497D"/>
          <w:lang w:val="fr-BE"/>
        </w:rPr>
      </w:pPr>
      <w:r w:rsidRPr="003F0997">
        <w:rPr>
          <w:rFonts w:ascii="Arial" w:hAnsi="Arial" w:cs="Arial"/>
          <w:color w:val="1F497D"/>
          <w:lang w:val="fr-BE"/>
        </w:rPr>
        <w:t>Pour les années 2016 et 2017, les chiffres de référence ont été établis par le FOREM au 30 juin 2015 et sont les suivants :  </w:t>
      </w:r>
    </w:p>
    <w:tbl>
      <w:tblPr>
        <w:tblW w:w="7340" w:type="dxa"/>
        <w:jc w:val="center"/>
        <w:tblCellMar>
          <w:left w:w="0" w:type="dxa"/>
          <w:right w:w="0" w:type="dxa"/>
        </w:tblCellMar>
        <w:tblLook w:val="04A0" w:firstRow="1" w:lastRow="0" w:firstColumn="1" w:lastColumn="0" w:noHBand="0" w:noVBand="1"/>
      </w:tblPr>
      <w:tblGrid>
        <w:gridCol w:w="5160"/>
        <w:gridCol w:w="2180"/>
      </w:tblGrid>
      <w:tr w:rsidR="003F0997" w:rsidRPr="003F0997" w:rsidTr="00087D5A">
        <w:trPr>
          <w:trHeight w:val="255"/>
          <w:jc w:val="center"/>
        </w:trPr>
        <w:tc>
          <w:tcPr>
            <w:tcW w:w="7340" w:type="dxa"/>
            <w:gridSpan w:val="2"/>
            <w:tcBorders>
              <w:top w:val="single" w:sz="8" w:space="0" w:color="ABABAB"/>
              <w:left w:val="single" w:sz="8" w:space="0" w:color="ABABAB"/>
              <w:bottom w:val="nil"/>
              <w:right w:val="single" w:sz="8" w:space="0" w:color="ABABAB"/>
            </w:tcBorders>
            <w:noWrap/>
            <w:tcMar>
              <w:top w:w="0" w:type="dxa"/>
              <w:left w:w="70" w:type="dxa"/>
              <w:bottom w:w="0" w:type="dxa"/>
              <w:right w:w="70" w:type="dxa"/>
            </w:tcMar>
            <w:vAlign w:val="bottom"/>
            <w:hideMark/>
          </w:tcPr>
          <w:p w:rsidR="003F0997" w:rsidRPr="003F0997" w:rsidRDefault="003F0997">
            <w:pPr>
              <w:spacing w:line="276" w:lineRule="auto"/>
              <w:rPr>
                <w:rFonts w:ascii="Arial" w:hAnsi="Arial" w:cs="Arial"/>
                <w:color w:val="1F497D"/>
                <w:lang w:val="fr-BE"/>
              </w:rPr>
            </w:pPr>
            <w:r w:rsidRPr="003F0997">
              <w:rPr>
                <w:rFonts w:ascii="Arial" w:hAnsi="Arial" w:cs="Arial"/>
                <w:color w:val="1F497D"/>
                <w:lang w:val="fr-BE"/>
              </w:rPr>
              <w:t xml:space="preserve">Taux de demande d'emploi (DEI/pop. active). </w:t>
            </w:r>
          </w:p>
          <w:p w:rsidR="003F0997" w:rsidRPr="003F0997" w:rsidRDefault="003F0997">
            <w:pPr>
              <w:spacing w:line="276" w:lineRule="auto"/>
              <w:rPr>
                <w:rFonts w:ascii="Arial" w:hAnsi="Arial" w:cs="Arial"/>
                <w:color w:val="1F497D"/>
                <w:lang w:val="fr-BE"/>
              </w:rPr>
            </w:pPr>
            <w:r w:rsidRPr="003F0997">
              <w:rPr>
                <w:rFonts w:ascii="Arial" w:hAnsi="Arial" w:cs="Arial"/>
                <w:color w:val="1F497D"/>
                <w:lang w:val="fr-BE"/>
              </w:rPr>
              <w:t xml:space="preserve">Source : Le </w:t>
            </w:r>
            <w:proofErr w:type="spellStart"/>
            <w:r w:rsidRPr="003F0997">
              <w:rPr>
                <w:rFonts w:ascii="Arial" w:hAnsi="Arial" w:cs="Arial"/>
                <w:color w:val="1F497D"/>
                <w:lang w:val="fr-BE"/>
              </w:rPr>
              <w:t>Forem</w:t>
            </w:r>
            <w:proofErr w:type="spellEnd"/>
            <w:r w:rsidRPr="003F0997">
              <w:rPr>
                <w:rFonts w:ascii="Arial" w:hAnsi="Arial" w:cs="Arial"/>
                <w:color w:val="1F497D"/>
                <w:lang w:val="fr-BE"/>
              </w:rPr>
              <w:t xml:space="preserve"> juin 2015</w:t>
            </w:r>
          </w:p>
        </w:tc>
      </w:tr>
      <w:tr w:rsidR="003F0997" w:rsidRPr="003F0997" w:rsidTr="00087D5A">
        <w:trPr>
          <w:trHeight w:val="780"/>
          <w:jc w:val="center"/>
        </w:trPr>
        <w:tc>
          <w:tcPr>
            <w:tcW w:w="5160" w:type="dxa"/>
            <w:tcBorders>
              <w:top w:val="single" w:sz="8" w:space="0" w:color="ABABAB"/>
              <w:left w:val="single" w:sz="8" w:space="0" w:color="ABABAB"/>
              <w:bottom w:val="nil"/>
              <w:right w:val="nil"/>
            </w:tcBorders>
            <w:noWrap/>
            <w:tcMar>
              <w:top w:w="0" w:type="dxa"/>
              <w:left w:w="70" w:type="dxa"/>
              <w:bottom w:w="0" w:type="dxa"/>
              <w:right w:w="70" w:type="dxa"/>
            </w:tcMar>
            <w:vAlign w:val="bottom"/>
            <w:hideMark/>
          </w:tcPr>
          <w:p w:rsidR="003F0997" w:rsidRPr="003F0997" w:rsidRDefault="003F0997">
            <w:pPr>
              <w:spacing w:line="276" w:lineRule="auto"/>
              <w:rPr>
                <w:rFonts w:ascii="Arial" w:hAnsi="Arial" w:cs="Arial"/>
                <w:color w:val="1F497D"/>
                <w:lang w:val="fr-BE"/>
              </w:rPr>
            </w:pPr>
            <w:r w:rsidRPr="003F0997">
              <w:rPr>
                <w:rFonts w:ascii="Arial" w:hAnsi="Arial" w:cs="Arial"/>
                <w:color w:val="1F497D"/>
                <w:lang w:val="fr-BE"/>
              </w:rPr>
              <w:t>Bassin EFE</w:t>
            </w:r>
          </w:p>
        </w:tc>
        <w:tc>
          <w:tcPr>
            <w:tcW w:w="2180" w:type="dxa"/>
            <w:tcBorders>
              <w:top w:val="single" w:sz="8" w:space="0" w:color="ABABAB"/>
              <w:left w:val="single" w:sz="8" w:space="0" w:color="ABABAB"/>
              <w:bottom w:val="nil"/>
              <w:right w:val="single" w:sz="8" w:space="0" w:color="ABABAB"/>
            </w:tcBorders>
            <w:noWrap/>
            <w:tcMar>
              <w:top w:w="0" w:type="dxa"/>
              <w:left w:w="70" w:type="dxa"/>
              <w:bottom w:w="0" w:type="dxa"/>
              <w:right w:w="70" w:type="dxa"/>
            </w:tcMar>
            <w:vAlign w:val="bottom"/>
            <w:hideMark/>
          </w:tcPr>
          <w:p w:rsidR="003F0997" w:rsidRPr="003F0997" w:rsidRDefault="003F0997">
            <w:pPr>
              <w:spacing w:line="276" w:lineRule="auto"/>
              <w:jc w:val="right"/>
              <w:rPr>
                <w:rFonts w:ascii="Arial" w:hAnsi="Arial" w:cs="Arial"/>
                <w:color w:val="1F497D"/>
                <w:lang w:val="fr-BE"/>
              </w:rPr>
            </w:pPr>
            <w:r w:rsidRPr="003F0997">
              <w:rPr>
                <w:rFonts w:ascii="Arial" w:hAnsi="Arial" w:cs="Arial"/>
                <w:color w:val="1F497D"/>
                <w:lang w:val="fr-BE"/>
              </w:rPr>
              <w:t>30 juin 2015</w:t>
            </w:r>
          </w:p>
        </w:tc>
      </w:tr>
      <w:tr w:rsidR="003F0997" w:rsidRPr="003F0997" w:rsidTr="00087D5A">
        <w:trPr>
          <w:trHeight w:val="255"/>
          <w:jc w:val="center"/>
        </w:trPr>
        <w:tc>
          <w:tcPr>
            <w:tcW w:w="5160" w:type="dxa"/>
            <w:tcBorders>
              <w:top w:val="single" w:sz="8" w:space="0" w:color="ABABAB"/>
              <w:left w:val="single" w:sz="8" w:space="0" w:color="ABABAB"/>
              <w:bottom w:val="nil"/>
              <w:right w:val="nil"/>
            </w:tcBorders>
            <w:noWrap/>
            <w:tcMar>
              <w:top w:w="0" w:type="dxa"/>
              <w:left w:w="70" w:type="dxa"/>
              <w:bottom w:w="0" w:type="dxa"/>
              <w:right w:w="70" w:type="dxa"/>
            </w:tcMar>
            <w:vAlign w:val="bottom"/>
            <w:hideMark/>
          </w:tcPr>
          <w:p w:rsidR="003F0997" w:rsidRPr="003F0997" w:rsidRDefault="003F0997">
            <w:pPr>
              <w:spacing w:line="276" w:lineRule="auto"/>
              <w:rPr>
                <w:rFonts w:ascii="Arial" w:hAnsi="Arial" w:cs="Arial"/>
                <w:color w:val="1F497D"/>
                <w:lang w:val="fr-BE"/>
              </w:rPr>
            </w:pPr>
            <w:r w:rsidRPr="003F0997">
              <w:rPr>
                <w:rFonts w:ascii="Arial" w:hAnsi="Arial" w:cs="Arial"/>
                <w:color w:val="1F497D"/>
                <w:lang w:val="fr-BE"/>
              </w:rPr>
              <w:t>01 Wallonie picarde</w:t>
            </w:r>
          </w:p>
        </w:tc>
        <w:tc>
          <w:tcPr>
            <w:tcW w:w="2180" w:type="dxa"/>
            <w:tcBorders>
              <w:top w:val="single" w:sz="8" w:space="0" w:color="ABABAB"/>
              <w:left w:val="single" w:sz="8" w:space="0" w:color="ABABAB"/>
              <w:bottom w:val="nil"/>
              <w:right w:val="single" w:sz="8" w:space="0" w:color="ABABAB"/>
            </w:tcBorders>
            <w:noWrap/>
            <w:tcMar>
              <w:top w:w="0" w:type="dxa"/>
              <w:left w:w="70" w:type="dxa"/>
              <w:bottom w:w="0" w:type="dxa"/>
              <w:right w:w="70" w:type="dxa"/>
            </w:tcMar>
            <w:vAlign w:val="bottom"/>
            <w:hideMark/>
          </w:tcPr>
          <w:p w:rsidR="003F0997" w:rsidRPr="003F0997" w:rsidRDefault="003F0997">
            <w:pPr>
              <w:spacing w:line="276" w:lineRule="auto"/>
              <w:jc w:val="right"/>
              <w:rPr>
                <w:rFonts w:ascii="Arial" w:hAnsi="Arial" w:cs="Arial"/>
                <w:color w:val="1F497D"/>
                <w:lang w:val="fr-BE"/>
              </w:rPr>
            </w:pPr>
            <w:r w:rsidRPr="003F0997">
              <w:rPr>
                <w:rFonts w:ascii="Arial" w:hAnsi="Arial" w:cs="Arial"/>
                <w:color w:val="1F497D"/>
                <w:lang w:val="fr-BE"/>
              </w:rPr>
              <w:t>12,5%</w:t>
            </w:r>
          </w:p>
        </w:tc>
      </w:tr>
      <w:tr w:rsidR="003F0997" w:rsidRPr="003F0997" w:rsidTr="00087D5A">
        <w:trPr>
          <w:trHeight w:val="255"/>
          <w:jc w:val="center"/>
        </w:trPr>
        <w:tc>
          <w:tcPr>
            <w:tcW w:w="5160" w:type="dxa"/>
            <w:tcBorders>
              <w:top w:val="nil"/>
              <w:left w:val="single" w:sz="8" w:space="0" w:color="ABABAB"/>
              <w:bottom w:val="nil"/>
              <w:right w:val="nil"/>
            </w:tcBorders>
            <w:noWrap/>
            <w:tcMar>
              <w:top w:w="0" w:type="dxa"/>
              <w:left w:w="70" w:type="dxa"/>
              <w:bottom w:w="0" w:type="dxa"/>
              <w:right w:w="70" w:type="dxa"/>
            </w:tcMar>
            <w:vAlign w:val="bottom"/>
            <w:hideMark/>
          </w:tcPr>
          <w:p w:rsidR="003F0997" w:rsidRPr="003F0997" w:rsidRDefault="003F0997">
            <w:pPr>
              <w:spacing w:line="276" w:lineRule="auto"/>
              <w:rPr>
                <w:rFonts w:ascii="Arial" w:hAnsi="Arial" w:cs="Arial"/>
                <w:color w:val="1F497D"/>
                <w:lang w:val="fr-BE"/>
              </w:rPr>
            </w:pPr>
            <w:r w:rsidRPr="003F0997">
              <w:rPr>
                <w:rFonts w:ascii="Arial" w:hAnsi="Arial" w:cs="Arial"/>
                <w:color w:val="1F497D"/>
                <w:lang w:val="fr-BE"/>
              </w:rPr>
              <w:t>02 Hainaut Centre</w:t>
            </w:r>
          </w:p>
        </w:tc>
        <w:tc>
          <w:tcPr>
            <w:tcW w:w="2180" w:type="dxa"/>
            <w:tcBorders>
              <w:top w:val="nil"/>
              <w:left w:val="single" w:sz="8" w:space="0" w:color="ABABAB"/>
              <w:bottom w:val="nil"/>
              <w:right w:val="single" w:sz="8" w:space="0" w:color="ABABAB"/>
            </w:tcBorders>
            <w:noWrap/>
            <w:tcMar>
              <w:top w:w="0" w:type="dxa"/>
              <w:left w:w="70" w:type="dxa"/>
              <w:bottom w:w="0" w:type="dxa"/>
              <w:right w:w="70" w:type="dxa"/>
            </w:tcMar>
            <w:vAlign w:val="bottom"/>
            <w:hideMark/>
          </w:tcPr>
          <w:p w:rsidR="003F0997" w:rsidRPr="003F0997" w:rsidRDefault="003F0997">
            <w:pPr>
              <w:spacing w:line="276" w:lineRule="auto"/>
              <w:jc w:val="right"/>
              <w:rPr>
                <w:rFonts w:ascii="Arial" w:hAnsi="Arial" w:cs="Arial"/>
                <w:color w:val="1F497D"/>
                <w:lang w:val="fr-BE"/>
              </w:rPr>
            </w:pPr>
            <w:r w:rsidRPr="003F0997">
              <w:rPr>
                <w:rFonts w:ascii="Arial" w:hAnsi="Arial" w:cs="Arial"/>
                <w:color w:val="1F497D"/>
                <w:lang w:val="fr-BE"/>
              </w:rPr>
              <w:t>17,5%</w:t>
            </w:r>
          </w:p>
        </w:tc>
      </w:tr>
      <w:tr w:rsidR="003F0997" w:rsidRPr="003F0997" w:rsidTr="00087D5A">
        <w:trPr>
          <w:trHeight w:val="255"/>
          <w:jc w:val="center"/>
        </w:trPr>
        <w:tc>
          <w:tcPr>
            <w:tcW w:w="5160" w:type="dxa"/>
            <w:tcBorders>
              <w:top w:val="nil"/>
              <w:left w:val="single" w:sz="8" w:space="0" w:color="ABABAB"/>
              <w:bottom w:val="nil"/>
              <w:right w:val="nil"/>
            </w:tcBorders>
            <w:noWrap/>
            <w:tcMar>
              <w:top w:w="0" w:type="dxa"/>
              <w:left w:w="70" w:type="dxa"/>
              <w:bottom w:w="0" w:type="dxa"/>
              <w:right w:w="70" w:type="dxa"/>
            </w:tcMar>
            <w:vAlign w:val="bottom"/>
            <w:hideMark/>
          </w:tcPr>
          <w:p w:rsidR="003F0997" w:rsidRPr="003F0997" w:rsidRDefault="003F0997">
            <w:pPr>
              <w:spacing w:line="276" w:lineRule="auto"/>
              <w:rPr>
                <w:rFonts w:ascii="Arial" w:hAnsi="Arial" w:cs="Arial"/>
                <w:color w:val="1F497D"/>
                <w:lang w:val="fr-BE"/>
              </w:rPr>
            </w:pPr>
            <w:r w:rsidRPr="003F0997">
              <w:rPr>
                <w:rFonts w:ascii="Arial" w:hAnsi="Arial" w:cs="Arial"/>
                <w:color w:val="1F497D"/>
                <w:lang w:val="fr-BE"/>
              </w:rPr>
              <w:t>03 Hainaut Sud</w:t>
            </w:r>
          </w:p>
        </w:tc>
        <w:tc>
          <w:tcPr>
            <w:tcW w:w="2180" w:type="dxa"/>
            <w:tcBorders>
              <w:top w:val="nil"/>
              <w:left w:val="single" w:sz="8" w:space="0" w:color="ABABAB"/>
              <w:bottom w:val="nil"/>
              <w:right w:val="single" w:sz="8" w:space="0" w:color="ABABAB"/>
            </w:tcBorders>
            <w:noWrap/>
            <w:tcMar>
              <w:top w:w="0" w:type="dxa"/>
              <w:left w:w="70" w:type="dxa"/>
              <w:bottom w:w="0" w:type="dxa"/>
              <w:right w:w="70" w:type="dxa"/>
            </w:tcMar>
            <w:vAlign w:val="bottom"/>
            <w:hideMark/>
          </w:tcPr>
          <w:p w:rsidR="003F0997" w:rsidRPr="003F0997" w:rsidRDefault="003F0997">
            <w:pPr>
              <w:spacing w:line="276" w:lineRule="auto"/>
              <w:jc w:val="right"/>
              <w:rPr>
                <w:rFonts w:ascii="Arial" w:hAnsi="Arial" w:cs="Arial"/>
                <w:color w:val="1F497D"/>
                <w:lang w:val="fr-BE"/>
              </w:rPr>
            </w:pPr>
            <w:r w:rsidRPr="003F0997">
              <w:rPr>
                <w:rFonts w:ascii="Arial" w:hAnsi="Arial" w:cs="Arial"/>
                <w:color w:val="1F497D"/>
                <w:lang w:val="fr-BE"/>
              </w:rPr>
              <w:t>18,8%</w:t>
            </w:r>
          </w:p>
        </w:tc>
      </w:tr>
      <w:tr w:rsidR="003F0997" w:rsidRPr="003F0997" w:rsidTr="00087D5A">
        <w:trPr>
          <w:trHeight w:val="255"/>
          <w:jc w:val="center"/>
        </w:trPr>
        <w:tc>
          <w:tcPr>
            <w:tcW w:w="5160" w:type="dxa"/>
            <w:tcBorders>
              <w:top w:val="nil"/>
              <w:left w:val="single" w:sz="8" w:space="0" w:color="ABABAB"/>
              <w:bottom w:val="nil"/>
              <w:right w:val="nil"/>
            </w:tcBorders>
            <w:noWrap/>
            <w:tcMar>
              <w:top w:w="0" w:type="dxa"/>
              <w:left w:w="70" w:type="dxa"/>
              <w:bottom w:w="0" w:type="dxa"/>
              <w:right w:w="70" w:type="dxa"/>
            </w:tcMar>
            <w:vAlign w:val="bottom"/>
            <w:hideMark/>
          </w:tcPr>
          <w:p w:rsidR="003F0997" w:rsidRPr="003F0997" w:rsidRDefault="003F0997">
            <w:pPr>
              <w:spacing w:line="276" w:lineRule="auto"/>
              <w:rPr>
                <w:rFonts w:ascii="Arial" w:hAnsi="Arial" w:cs="Arial"/>
                <w:color w:val="1F497D"/>
                <w:lang w:val="fr-BE"/>
              </w:rPr>
            </w:pPr>
            <w:r w:rsidRPr="003F0997">
              <w:rPr>
                <w:rFonts w:ascii="Arial" w:hAnsi="Arial" w:cs="Arial"/>
                <w:color w:val="1F497D"/>
                <w:lang w:val="fr-BE"/>
              </w:rPr>
              <w:t>04 Brabant wallon</w:t>
            </w:r>
          </w:p>
        </w:tc>
        <w:tc>
          <w:tcPr>
            <w:tcW w:w="2180" w:type="dxa"/>
            <w:tcBorders>
              <w:top w:val="nil"/>
              <w:left w:val="single" w:sz="8" w:space="0" w:color="ABABAB"/>
              <w:bottom w:val="nil"/>
              <w:right w:val="single" w:sz="8" w:space="0" w:color="ABABAB"/>
            </w:tcBorders>
            <w:noWrap/>
            <w:tcMar>
              <w:top w:w="0" w:type="dxa"/>
              <w:left w:w="70" w:type="dxa"/>
              <w:bottom w:w="0" w:type="dxa"/>
              <w:right w:w="70" w:type="dxa"/>
            </w:tcMar>
            <w:vAlign w:val="bottom"/>
            <w:hideMark/>
          </w:tcPr>
          <w:p w:rsidR="003F0997" w:rsidRPr="003F0997" w:rsidRDefault="003F0997">
            <w:pPr>
              <w:spacing w:line="276" w:lineRule="auto"/>
              <w:jc w:val="right"/>
              <w:rPr>
                <w:rFonts w:ascii="Arial" w:hAnsi="Arial" w:cs="Arial"/>
                <w:color w:val="1F497D"/>
                <w:lang w:val="fr-BE"/>
              </w:rPr>
            </w:pPr>
            <w:r w:rsidRPr="003F0997">
              <w:rPr>
                <w:rFonts w:ascii="Arial" w:hAnsi="Arial" w:cs="Arial"/>
                <w:color w:val="1F497D"/>
                <w:lang w:val="fr-BE"/>
              </w:rPr>
              <w:t>10,4%</w:t>
            </w:r>
          </w:p>
        </w:tc>
      </w:tr>
      <w:tr w:rsidR="003F0997" w:rsidRPr="003F0997" w:rsidTr="00087D5A">
        <w:trPr>
          <w:trHeight w:val="255"/>
          <w:jc w:val="center"/>
        </w:trPr>
        <w:tc>
          <w:tcPr>
            <w:tcW w:w="5160" w:type="dxa"/>
            <w:tcBorders>
              <w:top w:val="nil"/>
              <w:left w:val="single" w:sz="8" w:space="0" w:color="ABABAB"/>
              <w:bottom w:val="nil"/>
              <w:right w:val="nil"/>
            </w:tcBorders>
            <w:noWrap/>
            <w:tcMar>
              <w:top w:w="0" w:type="dxa"/>
              <w:left w:w="70" w:type="dxa"/>
              <w:bottom w:w="0" w:type="dxa"/>
              <w:right w:w="70" w:type="dxa"/>
            </w:tcMar>
            <w:vAlign w:val="bottom"/>
            <w:hideMark/>
          </w:tcPr>
          <w:p w:rsidR="003F0997" w:rsidRPr="003F0997" w:rsidRDefault="003F0997">
            <w:pPr>
              <w:spacing w:line="276" w:lineRule="auto"/>
              <w:rPr>
                <w:rFonts w:ascii="Arial" w:hAnsi="Arial" w:cs="Arial"/>
                <w:color w:val="1F497D"/>
                <w:lang w:val="fr-BE"/>
              </w:rPr>
            </w:pPr>
            <w:r w:rsidRPr="003F0997">
              <w:rPr>
                <w:rFonts w:ascii="Arial" w:hAnsi="Arial" w:cs="Arial"/>
                <w:color w:val="1F497D"/>
                <w:lang w:val="fr-BE"/>
              </w:rPr>
              <w:t>05 Namur</w:t>
            </w:r>
          </w:p>
        </w:tc>
        <w:tc>
          <w:tcPr>
            <w:tcW w:w="2180" w:type="dxa"/>
            <w:tcBorders>
              <w:top w:val="nil"/>
              <w:left w:val="single" w:sz="8" w:space="0" w:color="ABABAB"/>
              <w:bottom w:val="nil"/>
              <w:right w:val="single" w:sz="8" w:space="0" w:color="ABABAB"/>
            </w:tcBorders>
            <w:noWrap/>
            <w:tcMar>
              <w:top w:w="0" w:type="dxa"/>
              <w:left w:w="70" w:type="dxa"/>
              <w:bottom w:w="0" w:type="dxa"/>
              <w:right w:w="70" w:type="dxa"/>
            </w:tcMar>
            <w:vAlign w:val="bottom"/>
            <w:hideMark/>
          </w:tcPr>
          <w:p w:rsidR="003F0997" w:rsidRPr="003F0997" w:rsidRDefault="003F0997">
            <w:pPr>
              <w:spacing w:line="276" w:lineRule="auto"/>
              <w:jc w:val="right"/>
              <w:rPr>
                <w:rFonts w:ascii="Arial" w:hAnsi="Arial" w:cs="Arial"/>
                <w:color w:val="1F497D"/>
                <w:lang w:val="fr-BE"/>
              </w:rPr>
            </w:pPr>
            <w:r w:rsidRPr="003F0997">
              <w:rPr>
                <w:rFonts w:ascii="Arial" w:hAnsi="Arial" w:cs="Arial"/>
                <w:color w:val="1F497D"/>
                <w:lang w:val="fr-BE"/>
              </w:rPr>
              <w:t>12,8%</w:t>
            </w:r>
          </w:p>
        </w:tc>
      </w:tr>
      <w:tr w:rsidR="003F0997" w:rsidRPr="003F0997" w:rsidTr="00087D5A">
        <w:trPr>
          <w:trHeight w:val="255"/>
          <w:jc w:val="center"/>
        </w:trPr>
        <w:tc>
          <w:tcPr>
            <w:tcW w:w="5160" w:type="dxa"/>
            <w:tcBorders>
              <w:top w:val="nil"/>
              <w:left w:val="single" w:sz="8" w:space="0" w:color="ABABAB"/>
              <w:bottom w:val="nil"/>
              <w:right w:val="nil"/>
            </w:tcBorders>
            <w:noWrap/>
            <w:tcMar>
              <w:top w:w="0" w:type="dxa"/>
              <w:left w:w="70" w:type="dxa"/>
              <w:bottom w:w="0" w:type="dxa"/>
              <w:right w:w="70" w:type="dxa"/>
            </w:tcMar>
            <w:vAlign w:val="bottom"/>
            <w:hideMark/>
          </w:tcPr>
          <w:p w:rsidR="003F0997" w:rsidRPr="003F0997" w:rsidRDefault="003F0997">
            <w:pPr>
              <w:spacing w:line="276" w:lineRule="auto"/>
              <w:rPr>
                <w:rFonts w:ascii="Arial" w:hAnsi="Arial" w:cs="Arial"/>
                <w:color w:val="1F497D"/>
                <w:lang w:val="fr-BE"/>
              </w:rPr>
            </w:pPr>
            <w:r w:rsidRPr="003F0997">
              <w:rPr>
                <w:rFonts w:ascii="Arial" w:hAnsi="Arial" w:cs="Arial"/>
                <w:color w:val="1F497D"/>
                <w:lang w:val="fr-BE"/>
              </w:rPr>
              <w:t>06 Huy -Waremme</w:t>
            </w:r>
          </w:p>
        </w:tc>
        <w:tc>
          <w:tcPr>
            <w:tcW w:w="2180" w:type="dxa"/>
            <w:tcBorders>
              <w:top w:val="nil"/>
              <w:left w:val="single" w:sz="8" w:space="0" w:color="ABABAB"/>
              <w:bottom w:val="nil"/>
              <w:right w:val="single" w:sz="8" w:space="0" w:color="ABABAB"/>
            </w:tcBorders>
            <w:noWrap/>
            <w:tcMar>
              <w:top w:w="0" w:type="dxa"/>
              <w:left w:w="70" w:type="dxa"/>
              <w:bottom w:w="0" w:type="dxa"/>
              <w:right w:w="70" w:type="dxa"/>
            </w:tcMar>
            <w:vAlign w:val="bottom"/>
            <w:hideMark/>
          </w:tcPr>
          <w:p w:rsidR="003F0997" w:rsidRPr="003F0997" w:rsidRDefault="003F0997">
            <w:pPr>
              <w:spacing w:line="276" w:lineRule="auto"/>
              <w:jc w:val="right"/>
              <w:rPr>
                <w:rFonts w:ascii="Arial" w:hAnsi="Arial" w:cs="Arial"/>
                <w:color w:val="1F497D"/>
                <w:lang w:val="fr-BE"/>
              </w:rPr>
            </w:pPr>
            <w:r w:rsidRPr="003F0997">
              <w:rPr>
                <w:rFonts w:ascii="Arial" w:hAnsi="Arial" w:cs="Arial"/>
                <w:color w:val="1F497D"/>
                <w:lang w:val="fr-BE"/>
              </w:rPr>
              <w:t>11,8%</w:t>
            </w:r>
          </w:p>
        </w:tc>
      </w:tr>
      <w:tr w:rsidR="003F0997" w:rsidRPr="003F0997" w:rsidTr="00087D5A">
        <w:trPr>
          <w:trHeight w:val="255"/>
          <w:jc w:val="center"/>
        </w:trPr>
        <w:tc>
          <w:tcPr>
            <w:tcW w:w="5160" w:type="dxa"/>
            <w:tcBorders>
              <w:top w:val="nil"/>
              <w:left w:val="single" w:sz="8" w:space="0" w:color="ABABAB"/>
              <w:bottom w:val="nil"/>
              <w:right w:val="nil"/>
            </w:tcBorders>
            <w:noWrap/>
            <w:tcMar>
              <w:top w:w="0" w:type="dxa"/>
              <w:left w:w="70" w:type="dxa"/>
              <w:bottom w:w="0" w:type="dxa"/>
              <w:right w:w="70" w:type="dxa"/>
            </w:tcMar>
            <w:vAlign w:val="bottom"/>
            <w:hideMark/>
          </w:tcPr>
          <w:p w:rsidR="003F0997" w:rsidRPr="003F0997" w:rsidRDefault="003F0997">
            <w:pPr>
              <w:spacing w:line="276" w:lineRule="auto"/>
              <w:rPr>
                <w:rFonts w:ascii="Arial" w:hAnsi="Arial" w:cs="Arial"/>
                <w:color w:val="1F497D"/>
                <w:lang w:val="fr-BE"/>
              </w:rPr>
            </w:pPr>
            <w:r w:rsidRPr="003F0997">
              <w:rPr>
                <w:rFonts w:ascii="Arial" w:hAnsi="Arial" w:cs="Arial"/>
                <w:color w:val="1F497D"/>
                <w:lang w:val="fr-BE"/>
              </w:rPr>
              <w:t>07 Liège</w:t>
            </w:r>
          </w:p>
        </w:tc>
        <w:tc>
          <w:tcPr>
            <w:tcW w:w="2180" w:type="dxa"/>
            <w:tcBorders>
              <w:top w:val="nil"/>
              <w:left w:val="single" w:sz="8" w:space="0" w:color="ABABAB"/>
              <w:bottom w:val="nil"/>
              <w:right w:val="single" w:sz="8" w:space="0" w:color="ABABAB"/>
            </w:tcBorders>
            <w:noWrap/>
            <w:tcMar>
              <w:top w:w="0" w:type="dxa"/>
              <w:left w:w="70" w:type="dxa"/>
              <w:bottom w:w="0" w:type="dxa"/>
              <w:right w:w="70" w:type="dxa"/>
            </w:tcMar>
            <w:vAlign w:val="bottom"/>
            <w:hideMark/>
          </w:tcPr>
          <w:p w:rsidR="003F0997" w:rsidRPr="003F0997" w:rsidRDefault="003F0997">
            <w:pPr>
              <w:spacing w:line="276" w:lineRule="auto"/>
              <w:jc w:val="right"/>
              <w:rPr>
                <w:rFonts w:ascii="Arial" w:hAnsi="Arial" w:cs="Arial"/>
                <w:color w:val="1F497D"/>
                <w:lang w:val="fr-BE"/>
              </w:rPr>
            </w:pPr>
            <w:r w:rsidRPr="003F0997">
              <w:rPr>
                <w:rFonts w:ascii="Arial" w:hAnsi="Arial" w:cs="Arial"/>
                <w:color w:val="1F497D"/>
                <w:lang w:val="fr-BE"/>
              </w:rPr>
              <w:t>19,0%</w:t>
            </w:r>
          </w:p>
        </w:tc>
      </w:tr>
      <w:tr w:rsidR="003F0997" w:rsidRPr="003F0997" w:rsidTr="00087D5A">
        <w:trPr>
          <w:trHeight w:val="255"/>
          <w:jc w:val="center"/>
        </w:trPr>
        <w:tc>
          <w:tcPr>
            <w:tcW w:w="5160" w:type="dxa"/>
            <w:tcBorders>
              <w:top w:val="nil"/>
              <w:left w:val="single" w:sz="8" w:space="0" w:color="ABABAB"/>
              <w:bottom w:val="nil"/>
              <w:right w:val="nil"/>
            </w:tcBorders>
            <w:noWrap/>
            <w:tcMar>
              <w:top w:w="0" w:type="dxa"/>
              <w:left w:w="70" w:type="dxa"/>
              <w:bottom w:w="0" w:type="dxa"/>
              <w:right w:w="70" w:type="dxa"/>
            </w:tcMar>
            <w:vAlign w:val="bottom"/>
            <w:hideMark/>
          </w:tcPr>
          <w:p w:rsidR="003F0997" w:rsidRPr="003F0997" w:rsidRDefault="003F0997">
            <w:pPr>
              <w:spacing w:line="276" w:lineRule="auto"/>
              <w:rPr>
                <w:rFonts w:ascii="Arial" w:hAnsi="Arial" w:cs="Arial"/>
                <w:color w:val="1F497D"/>
                <w:lang w:val="fr-BE"/>
              </w:rPr>
            </w:pPr>
            <w:r w:rsidRPr="003F0997">
              <w:rPr>
                <w:rFonts w:ascii="Arial" w:hAnsi="Arial" w:cs="Arial"/>
                <w:color w:val="1F497D"/>
                <w:lang w:val="fr-BE"/>
              </w:rPr>
              <w:t>08 Verviers</w:t>
            </w:r>
          </w:p>
        </w:tc>
        <w:tc>
          <w:tcPr>
            <w:tcW w:w="2180" w:type="dxa"/>
            <w:tcBorders>
              <w:top w:val="nil"/>
              <w:left w:val="single" w:sz="8" w:space="0" w:color="ABABAB"/>
              <w:bottom w:val="nil"/>
              <w:right w:val="single" w:sz="8" w:space="0" w:color="ABABAB"/>
            </w:tcBorders>
            <w:noWrap/>
            <w:tcMar>
              <w:top w:w="0" w:type="dxa"/>
              <w:left w:w="70" w:type="dxa"/>
              <w:bottom w:w="0" w:type="dxa"/>
              <w:right w:w="70" w:type="dxa"/>
            </w:tcMar>
            <w:vAlign w:val="bottom"/>
            <w:hideMark/>
          </w:tcPr>
          <w:p w:rsidR="003F0997" w:rsidRPr="003F0997" w:rsidRDefault="003F0997">
            <w:pPr>
              <w:spacing w:line="276" w:lineRule="auto"/>
              <w:jc w:val="right"/>
              <w:rPr>
                <w:rFonts w:ascii="Arial" w:hAnsi="Arial" w:cs="Arial"/>
                <w:color w:val="1F497D"/>
                <w:lang w:val="fr-BE"/>
              </w:rPr>
            </w:pPr>
            <w:r w:rsidRPr="003F0997">
              <w:rPr>
                <w:rFonts w:ascii="Arial" w:hAnsi="Arial" w:cs="Arial"/>
                <w:color w:val="1F497D"/>
                <w:lang w:val="fr-BE"/>
              </w:rPr>
              <w:t>15,1%</w:t>
            </w:r>
          </w:p>
        </w:tc>
      </w:tr>
      <w:tr w:rsidR="003F0997" w:rsidRPr="003F0997" w:rsidTr="00087D5A">
        <w:trPr>
          <w:trHeight w:val="255"/>
          <w:jc w:val="center"/>
        </w:trPr>
        <w:tc>
          <w:tcPr>
            <w:tcW w:w="5160" w:type="dxa"/>
            <w:tcBorders>
              <w:top w:val="nil"/>
              <w:left w:val="single" w:sz="8" w:space="0" w:color="ABABAB"/>
              <w:bottom w:val="nil"/>
              <w:right w:val="nil"/>
            </w:tcBorders>
            <w:noWrap/>
            <w:tcMar>
              <w:top w:w="0" w:type="dxa"/>
              <w:left w:w="70" w:type="dxa"/>
              <w:bottom w:w="0" w:type="dxa"/>
              <w:right w:w="70" w:type="dxa"/>
            </w:tcMar>
            <w:vAlign w:val="bottom"/>
            <w:hideMark/>
          </w:tcPr>
          <w:p w:rsidR="003F0997" w:rsidRPr="003F0997" w:rsidRDefault="003F0997">
            <w:pPr>
              <w:spacing w:line="276" w:lineRule="auto"/>
              <w:rPr>
                <w:rFonts w:ascii="Arial" w:hAnsi="Arial" w:cs="Arial"/>
                <w:color w:val="1F497D"/>
                <w:lang w:val="fr-BE"/>
              </w:rPr>
            </w:pPr>
            <w:r w:rsidRPr="003F0997">
              <w:rPr>
                <w:rFonts w:ascii="Arial" w:hAnsi="Arial" w:cs="Arial"/>
                <w:color w:val="1F497D"/>
                <w:lang w:val="fr-BE"/>
              </w:rPr>
              <w:t>09 Luxembourg</w:t>
            </w:r>
          </w:p>
        </w:tc>
        <w:tc>
          <w:tcPr>
            <w:tcW w:w="2180" w:type="dxa"/>
            <w:tcBorders>
              <w:top w:val="nil"/>
              <w:left w:val="single" w:sz="8" w:space="0" w:color="ABABAB"/>
              <w:bottom w:val="nil"/>
              <w:right w:val="single" w:sz="8" w:space="0" w:color="ABABAB"/>
            </w:tcBorders>
            <w:noWrap/>
            <w:tcMar>
              <w:top w:w="0" w:type="dxa"/>
              <w:left w:w="70" w:type="dxa"/>
              <w:bottom w:w="0" w:type="dxa"/>
              <w:right w:w="70" w:type="dxa"/>
            </w:tcMar>
            <w:vAlign w:val="bottom"/>
            <w:hideMark/>
          </w:tcPr>
          <w:p w:rsidR="003F0997" w:rsidRPr="003F0997" w:rsidRDefault="003F0997">
            <w:pPr>
              <w:spacing w:line="276" w:lineRule="auto"/>
              <w:jc w:val="right"/>
              <w:rPr>
                <w:rFonts w:ascii="Arial" w:hAnsi="Arial" w:cs="Arial"/>
                <w:color w:val="1F497D"/>
                <w:lang w:val="fr-BE"/>
              </w:rPr>
            </w:pPr>
            <w:r w:rsidRPr="003F0997">
              <w:rPr>
                <w:rFonts w:ascii="Arial" w:hAnsi="Arial" w:cs="Arial"/>
                <w:color w:val="1F497D"/>
                <w:lang w:val="fr-BE"/>
              </w:rPr>
              <w:t>10,1%</w:t>
            </w:r>
          </w:p>
        </w:tc>
      </w:tr>
      <w:tr w:rsidR="003F0997" w:rsidRPr="003F0997" w:rsidTr="00087D5A">
        <w:trPr>
          <w:trHeight w:val="255"/>
          <w:jc w:val="center"/>
        </w:trPr>
        <w:tc>
          <w:tcPr>
            <w:tcW w:w="5160" w:type="dxa"/>
            <w:tcBorders>
              <w:top w:val="single" w:sz="8" w:space="0" w:color="ABABAB"/>
              <w:left w:val="single" w:sz="8" w:space="0" w:color="ABABAB"/>
              <w:bottom w:val="single" w:sz="8" w:space="0" w:color="ABABAB"/>
              <w:right w:val="nil"/>
            </w:tcBorders>
            <w:noWrap/>
            <w:tcMar>
              <w:top w:w="0" w:type="dxa"/>
              <w:left w:w="70" w:type="dxa"/>
              <w:bottom w:w="0" w:type="dxa"/>
              <w:right w:w="70" w:type="dxa"/>
            </w:tcMar>
            <w:vAlign w:val="bottom"/>
            <w:hideMark/>
          </w:tcPr>
          <w:p w:rsidR="003F0997" w:rsidRPr="003F0997" w:rsidRDefault="003F0997">
            <w:pPr>
              <w:spacing w:line="276" w:lineRule="auto"/>
              <w:rPr>
                <w:rFonts w:ascii="Arial" w:hAnsi="Arial" w:cs="Arial"/>
                <w:b/>
                <w:bCs/>
                <w:color w:val="1F497D"/>
                <w:lang w:val="fr-BE"/>
              </w:rPr>
            </w:pPr>
            <w:r w:rsidRPr="003F0997">
              <w:rPr>
                <w:rFonts w:ascii="Arial" w:hAnsi="Arial" w:cs="Arial"/>
                <w:b/>
                <w:bCs/>
                <w:color w:val="1F497D"/>
                <w:lang w:val="fr-BE"/>
              </w:rPr>
              <w:t>Total général</w:t>
            </w:r>
          </w:p>
        </w:tc>
        <w:tc>
          <w:tcPr>
            <w:tcW w:w="2180" w:type="dxa"/>
            <w:tcBorders>
              <w:top w:val="single" w:sz="8" w:space="0" w:color="ABABAB"/>
              <w:left w:val="single" w:sz="8" w:space="0" w:color="ABABAB"/>
              <w:bottom w:val="single" w:sz="8" w:space="0" w:color="ABABAB"/>
              <w:right w:val="single" w:sz="8" w:space="0" w:color="ABABAB"/>
            </w:tcBorders>
            <w:noWrap/>
            <w:tcMar>
              <w:top w:w="0" w:type="dxa"/>
              <w:left w:w="70" w:type="dxa"/>
              <w:bottom w:w="0" w:type="dxa"/>
              <w:right w:w="70" w:type="dxa"/>
            </w:tcMar>
            <w:vAlign w:val="bottom"/>
            <w:hideMark/>
          </w:tcPr>
          <w:p w:rsidR="003F0997" w:rsidRPr="003F0997" w:rsidRDefault="003F0997">
            <w:pPr>
              <w:spacing w:line="276" w:lineRule="auto"/>
              <w:jc w:val="right"/>
              <w:rPr>
                <w:rFonts w:ascii="Arial" w:hAnsi="Arial" w:cs="Arial"/>
                <w:b/>
                <w:bCs/>
                <w:color w:val="1F497D"/>
                <w:lang w:val="fr-BE"/>
              </w:rPr>
            </w:pPr>
            <w:r w:rsidRPr="003F0997">
              <w:rPr>
                <w:rFonts w:ascii="Arial" w:hAnsi="Arial" w:cs="Arial"/>
                <w:b/>
                <w:bCs/>
                <w:color w:val="1F497D"/>
                <w:lang w:val="fr-BE"/>
              </w:rPr>
              <w:t>15,0%</w:t>
            </w:r>
          </w:p>
        </w:tc>
      </w:tr>
    </w:tbl>
    <w:p w:rsidR="003F0997" w:rsidRPr="003F0997" w:rsidRDefault="003F0997" w:rsidP="003F0997">
      <w:pPr>
        <w:spacing w:after="240"/>
        <w:rPr>
          <w:rFonts w:ascii="Arial" w:hAnsi="Arial" w:cs="Arial"/>
          <w:color w:val="1F497D"/>
          <w:lang w:val="fr-BE"/>
        </w:rPr>
      </w:pPr>
    </w:p>
    <w:p w:rsidR="003F0997" w:rsidRPr="003F0997" w:rsidRDefault="003F0997" w:rsidP="003F0997">
      <w:pPr>
        <w:spacing w:after="240"/>
        <w:rPr>
          <w:rFonts w:ascii="Arial" w:hAnsi="Arial" w:cs="Arial"/>
          <w:color w:val="1F497D"/>
          <w:lang w:val="fr-BE"/>
        </w:rPr>
      </w:pPr>
      <w:r w:rsidRPr="003F0997">
        <w:rPr>
          <w:rFonts w:ascii="Arial" w:hAnsi="Arial" w:cs="Arial"/>
          <w:color w:val="1F497D"/>
          <w:lang w:val="fr-BE"/>
        </w:rPr>
        <w:t>Pour rappel, la règle générale pour le calcul du taux de dérogation est la suivante :</w:t>
      </w:r>
    </w:p>
    <w:p w:rsidR="003F0997" w:rsidRPr="003F0997" w:rsidRDefault="003F0997" w:rsidP="003F0997">
      <w:pPr>
        <w:pStyle w:val="Paragraphedeliste"/>
        <w:numPr>
          <w:ilvl w:val="0"/>
          <w:numId w:val="1"/>
        </w:numPr>
        <w:rPr>
          <w:rFonts w:ascii="Arial" w:hAnsi="Arial" w:cs="Arial"/>
          <w:lang w:val="fr-BE"/>
        </w:rPr>
      </w:pPr>
      <w:r w:rsidRPr="003F0997">
        <w:rPr>
          <w:rFonts w:ascii="Arial" w:hAnsi="Arial" w:cs="Arial"/>
          <w:color w:val="1F497D"/>
          <w:lang w:val="fr-BE"/>
        </w:rPr>
        <w:t xml:space="preserve">Taux de 20% si le siège d’activité est situé sur le territoire d’un CSEF dans lequel le taux de la demande d’emploi est supérieur d’au moins 15% au taux moyen de la demande d’emploi en Région wallonne de langue française ; </w:t>
      </w:r>
    </w:p>
    <w:p w:rsidR="003F0997" w:rsidRPr="003F0997" w:rsidRDefault="003F0997" w:rsidP="003F0997">
      <w:pPr>
        <w:pStyle w:val="Paragraphedeliste"/>
        <w:numPr>
          <w:ilvl w:val="0"/>
          <w:numId w:val="1"/>
        </w:numPr>
        <w:rPr>
          <w:rFonts w:ascii="Arial" w:hAnsi="Arial" w:cs="Arial"/>
          <w:lang w:val="fr-BE"/>
        </w:rPr>
      </w:pPr>
      <w:r w:rsidRPr="003F0997">
        <w:rPr>
          <w:rFonts w:ascii="Arial" w:hAnsi="Arial" w:cs="Arial"/>
          <w:color w:val="1F497D"/>
          <w:lang w:val="fr-BE"/>
        </w:rPr>
        <w:t xml:space="preserve">Taux de 20% si le siège d’activité est situé sur le territoire d’un CSEF dans lequel le taux de la demande d’emploi se situe entre moins de 15% et plus de 15% du taux moyen de la demande d’emploi en Région wallonne de langue française ; </w:t>
      </w:r>
    </w:p>
    <w:p w:rsidR="003F0997" w:rsidRPr="003F0997" w:rsidRDefault="003F0997" w:rsidP="003F0997">
      <w:pPr>
        <w:pStyle w:val="Paragraphedeliste"/>
        <w:numPr>
          <w:ilvl w:val="0"/>
          <w:numId w:val="1"/>
        </w:numPr>
        <w:spacing w:after="240"/>
        <w:rPr>
          <w:rFonts w:ascii="Arial" w:hAnsi="Arial" w:cs="Arial"/>
          <w:color w:val="1F497D"/>
          <w:lang w:val="fr-BE"/>
        </w:rPr>
      </w:pPr>
      <w:r w:rsidRPr="003F0997">
        <w:rPr>
          <w:rFonts w:ascii="Arial" w:hAnsi="Arial" w:cs="Arial"/>
          <w:color w:val="1F497D"/>
          <w:lang w:val="fr-BE"/>
        </w:rPr>
        <w:t xml:space="preserve">Taux de 40% si le siège d’activité est situé sur le territoire d’un CSEF dans lequel le taux de la demande d’emploi est inférieur d’au moins 15% au taux moyen de la demande d’emploi en Région wallonne de langue française. </w:t>
      </w:r>
    </w:p>
    <w:p w:rsidR="003F0997" w:rsidRPr="003F0997" w:rsidRDefault="003F0997" w:rsidP="003F0997">
      <w:pPr>
        <w:spacing w:after="240"/>
        <w:rPr>
          <w:rFonts w:ascii="Arial" w:hAnsi="Arial" w:cs="Arial"/>
          <w:color w:val="1F497D"/>
          <w:lang w:val="fr-BE"/>
        </w:rPr>
      </w:pPr>
      <w:r w:rsidRPr="003F0997">
        <w:rPr>
          <w:rFonts w:ascii="Arial" w:hAnsi="Arial" w:cs="Arial"/>
          <w:color w:val="1F497D"/>
          <w:lang w:val="fr-BE"/>
        </w:rPr>
        <w:t>Dès lors :</w:t>
      </w:r>
    </w:p>
    <w:p w:rsidR="003F0997" w:rsidRPr="003F0997" w:rsidRDefault="003F0997" w:rsidP="003F0997">
      <w:pPr>
        <w:pStyle w:val="Paragraphedeliste"/>
        <w:numPr>
          <w:ilvl w:val="0"/>
          <w:numId w:val="3"/>
        </w:numPr>
        <w:spacing w:after="240"/>
        <w:rPr>
          <w:rFonts w:ascii="Arial" w:hAnsi="Arial" w:cs="Arial"/>
          <w:color w:val="1F497D"/>
          <w:lang w:val="fr-BE"/>
        </w:rPr>
      </w:pPr>
      <w:r w:rsidRPr="003F0997">
        <w:rPr>
          <w:rFonts w:ascii="Arial" w:hAnsi="Arial" w:cs="Arial"/>
          <w:color w:val="1F497D"/>
          <w:lang w:val="fr-BE"/>
        </w:rPr>
        <w:t>relèvent de la première catégorie pour la période 2016-2017 les BASSINS EFE suivants : Hainaut Centre, Hainaut Sud et Liège ;</w:t>
      </w:r>
      <w:bookmarkStart w:id="0" w:name="_GoBack"/>
      <w:bookmarkEnd w:id="0"/>
    </w:p>
    <w:p w:rsidR="003F0997" w:rsidRPr="003F0997" w:rsidRDefault="003F0997" w:rsidP="003F0997">
      <w:pPr>
        <w:pStyle w:val="Paragraphedeliste"/>
        <w:numPr>
          <w:ilvl w:val="0"/>
          <w:numId w:val="3"/>
        </w:numPr>
        <w:spacing w:after="240"/>
        <w:rPr>
          <w:rFonts w:ascii="Arial" w:hAnsi="Arial" w:cs="Arial"/>
          <w:color w:val="1F497D"/>
          <w:lang w:val="fr-BE"/>
        </w:rPr>
      </w:pPr>
      <w:r w:rsidRPr="003F0997">
        <w:rPr>
          <w:rFonts w:ascii="Arial" w:hAnsi="Arial" w:cs="Arial"/>
          <w:color w:val="1F497D"/>
          <w:lang w:val="fr-BE"/>
        </w:rPr>
        <w:t>relèvent de la deuxième catégorie pour la période 2016-2017 les BASSINS EFE suivants : Namur et Verviers ;</w:t>
      </w:r>
    </w:p>
    <w:p w:rsidR="003F0997" w:rsidRPr="003F0997" w:rsidRDefault="003F0997" w:rsidP="003F0997">
      <w:pPr>
        <w:pStyle w:val="Paragraphedeliste"/>
        <w:numPr>
          <w:ilvl w:val="0"/>
          <w:numId w:val="3"/>
        </w:numPr>
        <w:spacing w:after="240"/>
        <w:rPr>
          <w:rFonts w:ascii="Arial" w:hAnsi="Arial" w:cs="Arial"/>
          <w:lang w:val="fr-BE"/>
        </w:rPr>
      </w:pPr>
      <w:r w:rsidRPr="003F0997">
        <w:rPr>
          <w:rFonts w:ascii="Arial" w:hAnsi="Arial" w:cs="Arial"/>
          <w:color w:val="1F497D"/>
          <w:lang w:val="fr-BE"/>
        </w:rPr>
        <w:t>relèvent de la troisième  catégorie pour la période 2016-2017 les BASSINS EFE suivants : Brabant wallon, Huy-Waremme, Luxembourg et Wallonie picarde.</w:t>
      </w:r>
    </w:p>
    <w:sectPr w:rsidR="003F0997" w:rsidRPr="003F0997" w:rsidSect="00E018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363" w:rsidRDefault="00224363" w:rsidP="0035756B">
      <w:r>
        <w:separator/>
      </w:r>
    </w:p>
  </w:endnote>
  <w:endnote w:type="continuationSeparator" w:id="0">
    <w:p w:rsidR="00224363" w:rsidRDefault="00224363" w:rsidP="0035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B" w:rsidRPr="0035756B" w:rsidRDefault="0035756B">
    <w:pPr>
      <w:pStyle w:val="Pieddepage"/>
      <w:rPr>
        <w:sz w:val="16"/>
        <w:szCs w:val="16"/>
      </w:rPr>
    </w:pPr>
    <w:hyperlink r:id="rId1" w:history="1">
      <w:r w:rsidRPr="00562189">
        <w:rPr>
          <w:rStyle w:val="Lienhypertexte"/>
          <w:sz w:val="16"/>
          <w:szCs w:val="16"/>
        </w:rPr>
        <w:t>http://emploi.wallonie.be/files/DOCS/CISP/tauxderogationstagiaires.docx</w:t>
      </w:r>
    </w:hyperlink>
    <w:r>
      <w:rPr>
        <w:sz w:val="16"/>
        <w:szCs w:val="16"/>
      </w:rPr>
      <w:t>, 21/06/2017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363" w:rsidRDefault="00224363" w:rsidP="0035756B">
      <w:r>
        <w:separator/>
      </w:r>
    </w:p>
  </w:footnote>
  <w:footnote w:type="continuationSeparator" w:id="0">
    <w:p w:rsidR="00224363" w:rsidRDefault="00224363" w:rsidP="00357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327F"/>
    <w:multiLevelType w:val="hybridMultilevel"/>
    <w:tmpl w:val="FF28657E"/>
    <w:lvl w:ilvl="0" w:tplc="080C000F">
      <w:start w:val="1"/>
      <w:numFmt w:val="decimal"/>
      <w:lvlText w:val="%1."/>
      <w:lvlJc w:val="left"/>
      <w:pPr>
        <w:ind w:left="720" w:hanging="360"/>
      </w:p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4D6B377C"/>
    <w:multiLevelType w:val="hybridMultilevel"/>
    <w:tmpl w:val="8E6897FA"/>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0997"/>
    <w:rsid w:val="00087D5A"/>
    <w:rsid w:val="00105611"/>
    <w:rsid w:val="00224363"/>
    <w:rsid w:val="0035756B"/>
    <w:rsid w:val="003F0997"/>
    <w:rsid w:val="004047EA"/>
    <w:rsid w:val="00B11005"/>
    <w:rsid w:val="00DD3B95"/>
    <w:rsid w:val="00E01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F4C35-251D-4337-91F2-4FD0C35B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997"/>
    <w:pPr>
      <w:spacing w:after="0" w:line="240" w:lineRule="auto"/>
    </w:pPr>
    <w:rPr>
      <w:rFonts w:ascii="Calibri" w:hAnsi="Calibri" w:cs="Times New Roman"/>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0997"/>
    <w:pPr>
      <w:ind w:left="720"/>
    </w:pPr>
  </w:style>
  <w:style w:type="paragraph" w:styleId="En-tte">
    <w:name w:val="header"/>
    <w:basedOn w:val="Normal"/>
    <w:link w:val="En-tteCar"/>
    <w:uiPriority w:val="99"/>
    <w:unhideWhenUsed/>
    <w:rsid w:val="0035756B"/>
    <w:pPr>
      <w:tabs>
        <w:tab w:val="center" w:pos="4536"/>
        <w:tab w:val="right" w:pos="9072"/>
      </w:tabs>
    </w:pPr>
  </w:style>
  <w:style w:type="character" w:customStyle="1" w:styleId="En-tteCar">
    <w:name w:val="En-tête Car"/>
    <w:basedOn w:val="Policepardfaut"/>
    <w:link w:val="En-tte"/>
    <w:uiPriority w:val="99"/>
    <w:rsid w:val="0035756B"/>
    <w:rPr>
      <w:rFonts w:ascii="Calibri" w:hAnsi="Calibri" w:cs="Times New Roman"/>
      <w:lang w:eastAsia="de-DE"/>
    </w:rPr>
  </w:style>
  <w:style w:type="paragraph" w:styleId="Pieddepage">
    <w:name w:val="footer"/>
    <w:basedOn w:val="Normal"/>
    <w:link w:val="PieddepageCar"/>
    <w:uiPriority w:val="99"/>
    <w:unhideWhenUsed/>
    <w:rsid w:val="0035756B"/>
    <w:pPr>
      <w:tabs>
        <w:tab w:val="center" w:pos="4536"/>
        <w:tab w:val="right" w:pos="9072"/>
      </w:tabs>
    </w:pPr>
  </w:style>
  <w:style w:type="character" w:customStyle="1" w:styleId="PieddepageCar">
    <w:name w:val="Pied de page Car"/>
    <w:basedOn w:val="Policepardfaut"/>
    <w:link w:val="Pieddepage"/>
    <w:uiPriority w:val="99"/>
    <w:rsid w:val="0035756B"/>
    <w:rPr>
      <w:rFonts w:ascii="Calibri" w:hAnsi="Calibri" w:cs="Times New Roman"/>
      <w:lang w:eastAsia="de-DE"/>
    </w:rPr>
  </w:style>
  <w:style w:type="character" w:styleId="Lienhypertexte">
    <w:name w:val="Hyperlink"/>
    <w:basedOn w:val="Policepardfaut"/>
    <w:uiPriority w:val="99"/>
    <w:unhideWhenUsed/>
    <w:rsid w:val="00357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mploi.wallonie.be/files/DOCS/CISP/tauxderogationstagiaires.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119120</dc:creator>
  <cp:lastModifiedBy>François XHAARD, CAIPS</cp:lastModifiedBy>
  <cp:revision>3</cp:revision>
  <dcterms:created xsi:type="dcterms:W3CDTF">2017-06-21T12:03:00Z</dcterms:created>
  <dcterms:modified xsi:type="dcterms:W3CDTF">2017-06-21T12:03:00Z</dcterms:modified>
</cp:coreProperties>
</file>